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ADEB6" w14:textId="22B56F22" w:rsidR="001A2C19" w:rsidRPr="005D7759" w:rsidRDefault="005A4D1F" w:rsidP="005D7759">
      <w:pPr>
        <w:jc w:val="center"/>
        <w:rPr>
          <w:rFonts w:ascii="Arial" w:hAnsi="Arial" w:cs="Arial"/>
          <w:b/>
          <w:bCs/>
        </w:rPr>
      </w:pPr>
      <w:r w:rsidRPr="005D7759">
        <w:rPr>
          <w:rFonts w:ascii="Arial" w:hAnsi="Arial" w:cs="Arial"/>
          <w:b/>
          <w:bCs/>
        </w:rPr>
        <w:t>MEMBER COUNTRY PROFILE – BRAZIL</w:t>
      </w:r>
    </w:p>
    <w:tbl>
      <w:tblPr>
        <w:tblStyle w:val="TableGrid"/>
        <w:tblW w:w="0" w:type="auto"/>
        <w:tblLook w:val="04A0" w:firstRow="1" w:lastRow="0" w:firstColumn="1" w:lastColumn="0" w:noHBand="0" w:noVBand="1"/>
      </w:tblPr>
      <w:tblGrid>
        <w:gridCol w:w="2137"/>
        <w:gridCol w:w="6357"/>
      </w:tblGrid>
      <w:tr w:rsidR="005A4D1F" w:rsidRPr="007A0CAD" w14:paraId="39111901" w14:textId="77777777" w:rsidTr="005A4D1F">
        <w:tc>
          <w:tcPr>
            <w:tcW w:w="1838" w:type="dxa"/>
          </w:tcPr>
          <w:p w14:paraId="6FEDF944" w14:textId="3F356B19" w:rsidR="005A4D1F" w:rsidRPr="00EE6054" w:rsidRDefault="00756782">
            <w:pPr>
              <w:rPr>
                <w:rFonts w:ascii="Arial" w:hAnsi="Arial" w:cs="Arial"/>
                <w:b/>
                <w:bCs/>
                <w:sz w:val="24"/>
                <w:szCs w:val="24"/>
              </w:rPr>
            </w:pPr>
            <w:r w:rsidRPr="00EE6054">
              <w:rPr>
                <w:rFonts w:ascii="Arial" w:hAnsi="Arial" w:cs="Arial"/>
                <w:b/>
                <w:bCs/>
                <w:sz w:val="24"/>
                <w:szCs w:val="24"/>
              </w:rPr>
              <w:t>Country:</w:t>
            </w:r>
          </w:p>
        </w:tc>
        <w:tc>
          <w:tcPr>
            <w:tcW w:w="6656" w:type="dxa"/>
          </w:tcPr>
          <w:p w14:paraId="178088E9" w14:textId="2E9FA44A" w:rsidR="005A4D1F" w:rsidRPr="007A0CAD" w:rsidRDefault="00756782">
            <w:pPr>
              <w:rPr>
                <w:rFonts w:ascii="Arial" w:hAnsi="Arial" w:cs="Arial"/>
                <w:sz w:val="24"/>
                <w:szCs w:val="24"/>
              </w:rPr>
            </w:pPr>
            <w:r w:rsidRPr="007A0CAD">
              <w:rPr>
                <w:rFonts w:ascii="Arial" w:hAnsi="Arial" w:cs="Arial"/>
                <w:sz w:val="24"/>
                <w:szCs w:val="24"/>
              </w:rPr>
              <w:t>Brazil</w:t>
            </w:r>
          </w:p>
        </w:tc>
      </w:tr>
      <w:tr w:rsidR="005A4D1F" w:rsidRPr="007A0CAD" w14:paraId="7EF6854D" w14:textId="77777777" w:rsidTr="005A4D1F">
        <w:tc>
          <w:tcPr>
            <w:tcW w:w="1838" w:type="dxa"/>
          </w:tcPr>
          <w:p w14:paraId="5FF90458" w14:textId="2BC042A7" w:rsidR="005A4D1F" w:rsidRPr="00EE6054" w:rsidRDefault="00756782">
            <w:pPr>
              <w:rPr>
                <w:rFonts w:ascii="Arial" w:hAnsi="Arial" w:cs="Arial"/>
                <w:b/>
                <w:bCs/>
                <w:sz w:val="24"/>
                <w:szCs w:val="24"/>
              </w:rPr>
            </w:pPr>
            <w:r w:rsidRPr="00EE6054">
              <w:rPr>
                <w:rFonts w:ascii="Arial" w:hAnsi="Arial" w:cs="Arial"/>
                <w:b/>
                <w:bCs/>
                <w:sz w:val="24"/>
                <w:szCs w:val="24"/>
              </w:rPr>
              <w:t>Organizations:</w:t>
            </w:r>
          </w:p>
        </w:tc>
        <w:tc>
          <w:tcPr>
            <w:tcW w:w="6656" w:type="dxa"/>
          </w:tcPr>
          <w:p w14:paraId="6F287AA9" w14:textId="68B42225" w:rsidR="005A4D1F" w:rsidRPr="007A0CAD" w:rsidRDefault="000D7462">
            <w:pPr>
              <w:rPr>
                <w:rFonts w:ascii="Arial" w:hAnsi="Arial" w:cs="Arial"/>
                <w:sz w:val="24"/>
                <w:szCs w:val="24"/>
                <w:lang w:val="en-GB"/>
              </w:rPr>
            </w:pPr>
            <w:r w:rsidRPr="007A0CAD">
              <w:rPr>
                <w:rFonts w:ascii="Arial" w:hAnsi="Arial" w:cs="Arial"/>
                <w:sz w:val="24"/>
                <w:szCs w:val="24"/>
                <w:lang w:val="en-GB"/>
              </w:rPr>
              <w:t>Superintendency for Operational Safety (</w:t>
            </w:r>
            <w:r w:rsidR="005D7759" w:rsidRPr="007A0CAD">
              <w:rPr>
                <w:rFonts w:ascii="Arial" w:hAnsi="Arial" w:cs="Arial"/>
                <w:sz w:val="24"/>
                <w:szCs w:val="24"/>
                <w:lang w:val="en-GB"/>
              </w:rPr>
              <w:t>SS</w:t>
            </w:r>
            <w:r w:rsidR="005D7759">
              <w:rPr>
                <w:rFonts w:ascii="Arial" w:hAnsi="Arial" w:cs="Arial"/>
                <w:sz w:val="24"/>
                <w:szCs w:val="24"/>
                <w:lang w:val="en-GB"/>
              </w:rPr>
              <w:t>O</w:t>
            </w:r>
            <w:r w:rsidRPr="007A0CAD">
              <w:rPr>
                <w:rFonts w:ascii="Arial" w:hAnsi="Arial" w:cs="Arial"/>
                <w:sz w:val="24"/>
                <w:szCs w:val="24"/>
                <w:lang w:val="en-GB"/>
              </w:rPr>
              <w:t>)</w:t>
            </w:r>
          </w:p>
        </w:tc>
      </w:tr>
      <w:tr w:rsidR="005A4D1F" w:rsidRPr="007A0CAD" w14:paraId="1E00D812" w14:textId="77777777" w:rsidTr="005A4D1F">
        <w:tc>
          <w:tcPr>
            <w:tcW w:w="1838" w:type="dxa"/>
          </w:tcPr>
          <w:p w14:paraId="5D0CB374" w14:textId="77777777" w:rsidR="00756782" w:rsidRPr="00EE6054" w:rsidRDefault="00756782" w:rsidP="00756782">
            <w:pPr>
              <w:rPr>
                <w:rFonts w:ascii="Arial" w:hAnsi="Arial" w:cs="Arial"/>
                <w:b/>
                <w:bCs/>
                <w:sz w:val="24"/>
                <w:szCs w:val="24"/>
              </w:rPr>
            </w:pPr>
            <w:r w:rsidRPr="00EE6054">
              <w:rPr>
                <w:rFonts w:ascii="Arial" w:hAnsi="Arial" w:cs="Arial"/>
                <w:b/>
                <w:bCs/>
                <w:sz w:val="24"/>
                <w:szCs w:val="24"/>
              </w:rPr>
              <w:t>Regime Scope:</w:t>
            </w:r>
          </w:p>
          <w:p w14:paraId="5264C7FE" w14:textId="7CC5B02E" w:rsidR="005A4D1F" w:rsidRPr="00EE6054" w:rsidRDefault="005A4D1F" w:rsidP="00756782">
            <w:pPr>
              <w:rPr>
                <w:rFonts w:ascii="Arial" w:hAnsi="Arial" w:cs="Arial"/>
                <w:b/>
                <w:bCs/>
                <w:sz w:val="24"/>
                <w:szCs w:val="24"/>
              </w:rPr>
            </w:pPr>
          </w:p>
        </w:tc>
        <w:tc>
          <w:tcPr>
            <w:tcW w:w="6656" w:type="dxa"/>
          </w:tcPr>
          <w:p w14:paraId="7F594033" w14:textId="449E9D6A" w:rsidR="005A4D1F" w:rsidRPr="007A0CAD" w:rsidRDefault="005E2911">
            <w:pPr>
              <w:rPr>
                <w:rFonts w:ascii="Arial" w:hAnsi="Arial" w:cs="Arial"/>
                <w:sz w:val="24"/>
                <w:szCs w:val="24"/>
                <w:lang w:val="en-GB"/>
              </w:rPr>
            </w:pPr>
            <w:r w:rsidRPr="007A0CAD">
              <w:rPr>
                <w:rFonts w:ascii="Arial" w:hAnsi="Arial" w:cs="Arial"/>
                <w:sz w:val="24"/>
                <w:szCs w:val="24"/>
                <w:lang w:val="en-GB"/>
              </w:rPr>
              <w:t>To regulate and to supervise activities related to process safety within the Exploration &amp; Production (E&amp;P) sector, both onshore and offshore operations.</w:t>
            </w:r>
          </w:p>
        </w:tc>
      </w:tr>
      <w:tr w:rsidR="005A4D1F" w:rsidRPr="007A0CAD" w14:paraId="1830ACC5" w14:textId="77777777" w:rsidTr="005A4D1F">
        <w:tc>
          <w:tcPr>
            <w:tcW w:w="1838" w:type="dxa"/>
          </w:tcPr>
          <w:p w14:paraId="4704DA88" w14:textId="77777777" w:rsidR="00756782" w:rsidRPr="00EE6054" w:rsidRDefault="00756782" w:rsidP="00756782">
            <w:pPr>
              <w:rPr>
                <w:rFonts w:ascii="Arial" w:hAnsi="Arial" w:cs="Arial"/>
                <w:b/>
                <w:bCs/>
                <w:sz w:val="24"/>
                <w:szCs w:val="24"/>
                <w:lang w:val="en-GB"/>
              </w:rPr>
            </w:pPr>
            <w:r w:rsidRPr="00EE6054">
              <w:rPr>
                <w:rFonts w:ascii="Arial" w:hAnsi="Arial" w:cs="Arial"/>
                <w:b/>
                <w:bCs/>
                <w:sz w:val="24"/>
                <w:szCs w:val="24"/>
                <w:lang w:val="en-GB"/>
              </w:rPr>
              <w:t>Administering Agency /</w:t>
            </w:r>
          </w:p>
          <w:p w14:paraId="20407D22" w14:textId="77777777" w:rsidR="00756782" w:rsidRPr="00EE6054" w:rsidRDefault="00756782" w:rsidP="00756782">
            <w:pPr>
              <w:rPr>
                <w:rFonts w:ascii="Arial" w:hAnsi="Arial" w:cs="Arial"/>
                <w:b/>
                <w:bCs/>
                <w:sz w:val="24"/>
                <w:szCs w:val="24"/>
                <w:lang w:val="en-GB"/>
              </w:rPr>
            </w:pPr>
            <w:r w:rsidRPr="00EE6054">
              <w:rPr>
                <w:rFonts w:ascii="Arial" w:hAnsi="Arial" w:cs="Arial"/>
                <w:b/>
                <w:bCs/>
                <w:sz w:val="24"/>
                <w:szCs w:val="24"/>
                <w:lang w:val="en-GB"/>
              </w:rPr>
              <w:t>Arrangements:</w:t>
            </w:r>
          </w:p>
          <w:p w14:paraId="216DE19D" w14:textId="77BF8D02" w:rsidR="005A4D1F" w:rsidRPr="00EE6054" w:rsidRDefault="005A4D1F" w:rsidP="00756782">
            <w:pPr>
              <w:rPr>
                <w:rFonts w:ascii="Arial" w:hAnsi="Arial" w:cs="Arial"/>
                <w:b/>
                <w:bCs/>
                <w:sz w:val="24"/>
                <w:szCs w:val="24"/>
              </w:rPr>
            </w:pPr>
          </w:p>
        </w:tc>
        <w:tc>
          <w:tcPr>
            <w:tcW w:w="6656" w:type="dxa"/>
          </w:tcPr>
          <w:p w14:paraId="0F750AEC" w14:textId="3524E23B" w:rsidR="005A4D1F" w:rsidRPr="007A0CAD" w:rsidRDefault="005D7759">
            <w:pPr>
              <w:rPr>
                <w:rFonts w:ascii="Arial" w:hAnsi="Arial" w:cs="Arial"/>
                <w:sz w:val="24"/>
                <w:szCs w:val="24"/>
                <w:lang w:val="en-GB"/>
              </w:rPr>
            </w:pPr>
            <w:r w:rsidRPr="007A0CAD">
              <w:rPr>
                <w:rFonts w:ascii="Arial" w:hAnsi="Arial" w:cs="Arial"/>
                <w:sz w:val="24"/>
                <w:szCs w:val="24"/>
                <w:lang w:val="en-GB"/>
              </w:rPr>
              <w:t>SS</w:t>
            </w:r>
            <w:r>
              <w:rPr>
                <w:rFonts w:ascii="Arial" w:hAnsi="Arial" w:cs="Arial"/>
                <w:sz w:val="24"/>
                <w:szCs w:val="24"/>
                <w:lang w:val="en-GB"/>
              </w:rPr>
              <w:t>O</w:t>
            </w:r>
            <w:r w:rsidRPr="007A0CAD">
              <w:rPr>
                <w:rFonts w:ascii="Arial" w:hAnsi="Arial" w:cs="Arial"/>
                <w:sz w:val="24"/>
                <w:szCs w:val="24"/>
                <w:lang w:val="en-GB"/>
              </w:rPr>
              <w:t xml:space="preserve"> </w:t>
            </w:r>
            <w:r w:rsidR="005E2911" w:rsidRPr="007A0CAD">
              <w:rPr>
                <w:rFonts w:ascii="Arial" w:hAnsi="Arial" w:cs="Arial"/>
                <w:sz w:val="24"/>
                <w:szCs w:val="24"/>
                <w:lang w:val="en-GB"/>
              </w:rPr>
              <w:t>is part of the National Agency of Petroleum, Natural Gas and Biofuels (ANP). ANP is attached to the Ministry of Mines and Energy, being the federal agency responsible for implementing the national policy for the energy sector, according to the Petroleum Law (Law n° 9478 of August 6th, 1997).</w:t>
            </w:r>
          </w:p>
        </w:tc>
      </w:tr>
      <w:tr w:rsidR="005A4D1F" w:rsidRPr="007A0CAD" w14:paraId="7D01FA37" w14:textId="77777777" w:rsidTr="005A4D1F">
        <w:tc>
          <w:tcPr>
            <w:tcW w:w="1838" w:type="dxa"/>
          </w:tcPr>
          <w:p w14:paraId="0A9189D4" w14:textId="77777777" w:rsidR="00756782" w:rsidRPr="00EE6054" w:rsidRDefault="00756782" w:rsidP="00756782">
            <w:pPr>
              <w:rPr>
                <w:rFonts w:ascii="Arial" w:hAnsi="Arial" w:cs="Arial"/>
                <w:b/>
                <w:bCs/>
                <w:sz w:val="24"/>
                <w:szCs w:val="24"/>
                <w:lang w:val="en-GB"/>
              </w:rPr>
            </w:pPr>
            <w:r w:rsidRPr="00EE6054">
              <w:rPr>
                <w:rFonts w:ascii="Arial" w:hAnsi="Arial" w:cs="Arial"/>
                <w:b/>
                <w:bCs/>
                <w:sz w:val="24"/>
                <w:szCs w:val="24"/>
                <w:lang w:val="en-GB"/>
              </w:rPr>
              <w:t>Legislation Type:</w:t>
            </w:r>
          </w:p>
          <w:p w14:paraId="1E60BB6A" w14:textId="1ED982B3" w:rsidR="005A4D1F" w:rsidRPr="00EE6054" w:rsidRDefault="005A4D1F" w:rsidP="00756782">
            <w:pPr>
              <w:rPr>
                <w:rFonts w:ascii="Arial" w:hAnsi="Arial" w:cs="Arial"/>
                <w:b/>
                <w:bCs/>
                <w:sz w:val="24"/>
                <w:szCs w:val="24"/>
              </w:rPr>
            </w:pPr>
          </w:p>
        </w:tc>
        <w:tc>
          <w:tcPr>
            <w:tcW w:w="6656" w:type="dxa"/>
          </w:tcPr>
          <w:p w14:paraId="00028DAE" w14:textId="6E2D60B4" w:rsidR="005A4D1F" w:rsidRPr="007A0CAD" w:rsidRDefault="005E2911">
            <w:pPr>
              <w:rPr>
                <w:rFonts w:ascii="Arial" w:hAnsi="Arial" w:cs="Arial"/>
                <w:sz w:val="24"/>
                <w:szCs w:val="24"/>
                <w:lang w:val="en-GB"/>
              </w:rPr>
            </w:pPr>
            <w:r w:rsidRPr="007A0CAD">
              <w:rPr>
                <w:rFonts w:ascii="Arial" w:hAnsi="Arial" w:cs="Arial"/>
                <w:sz w:val="24"/>
                <w:szCs w:val="24"/>
                <w:lang w:val="en-GB"/>
              </w:rPr>
              <w:t xml:space="preserve">Resolutions, Concession </w:t>
            </w:r>
            <w:r w:rsidR="005D7759">
              <w:rPr>
                <w:rFonts w:ascii="Arial" w:hAnsi="Arial" w:cs="Arial"/>
                <w:sz w:val="24"/>
                <w:szCs w:val="24"/>
                <w:lang w:val="en-GB"/>
              </w:rPr>
              <w:t xml:space="preserve">and Sharing </w:t>
            </w:r>
            <w:r w:rsidRPr="007A0CAD">
              <w:rPr>
                <w:rFonts w:ascii="Arial" w:hAnsi="Arial" w:cs="Arial"/>
                <w:sz w:val="24"/>
                <w:szCs w:val="24"/>
                <w:lang w:val="en-GB"/>
              </w:rPr>
              <w:t>Agreements with ANP.</w:t>
            </w:r>
          </w:p>
        </w:tc>
      </w:tr>
      <w:tr w:rsidR="005A4D1F" w:rsidRPr="007A0CAD" w14:paraId="6659A34F" w14:textId="77777777" w:rsidTr="005A4D1F">
        <w:tc>
          <w:tcPr>
            <w:tcW w:w="1838" w:type="dxa"/>
          </w:tcPr>
          <w:p w14:paraId="4FE8FE0D" w14:textId="1977D82F" w:rsidR="005A4D1F" w:rsidRPr="00EE6054" w:rsidRDefault="00756782">
            <w:pPr>
              <w:rPr>
                <w:rFonts w:ascii="Arial" w:hAnsi="Arial" w:cs="Arial"/>
                <w:b/>
                <w:bCs/>
                <w:sz w:val="24"/>
                <w:szCs w:val="24"/>
              </w:rPr>
            </w:pPr>
            <w:r w:rsidRPr="00EE6054">
              <w:rPr>
                <w:rFonts w:ascii="Arial" w:hAnsi="Arial" w:cs="Arial"/>
                <w:b/>
                <w:bCs/>
                <w:sz w:val="24"/>
                <w:szCs w:val="24"/>
              </w:rPr>
              <w:t>Extent of Government Approval:</w:t>
            </w:r>
          </w:p>
        </w:tc>
        <w:tc>
          <w:tcPr>
            <w:tcW w:w="6656" w:type="dxa"/>
          </w:tcPr>
          <w:p w14:paraId="1250C5CB" w14:textId="77777777" w:rsidR="00153381" w:rsidRPr="007A0CAD" w:rsidRDefault="00153381" w:rsidP="00153381">
            <w:pPr>
              <w:rPr>
                <w:rFonts w:ascii="Arial" w:hAnsi="Arial" w:cs="Arial"/>
                <w:sz w:val="24"/>
                <w:szCs w:val="24"/>
                <w:lang w:val="en-GB"/>
              </w:rPr>
            </w:pPr>
            <w:r w:rsidRPr="007A0CAD">
              <w:rPr>
                <w:rFonts w:ascii="Arial" w:hAnsi="Arial" w:cs="Arial"/>
                <w:sz w:val="24"/>
                <w:szCs w:val="24"/>
                <w:lang w:val="en-GB"/>
              </w:rPr>
              <w:t xml:space="preserve">I – to propose operational safety regulations for E&amp;P operations and to enforce it, focusing on the protection of human life, environment and </w:t>
            </w:r>
            <w:proofErr w:type="gramStart"/>
            <w:r w:rsidRPr="007A0CAD">
              <w:rPr>
                <w:rFonts w:ascii="Arial" w:hAnsi="Arial" w:cs="Arial"/>
                <w:sz w:val="24"/>
                <w:szCs w:val="24"/>
                <w:lang w:val="en-GB"/>
              </w:rPr>
              <w:t>assets;</w:t>
            </w:r>
            <w:proofErr w:type="gramEnd"/>
          </w:p>
          <w:p w14:paraId="3FC0BED5" w14:textId="77777777" w:rsidR="00153381" w:rsidRPr="007A0CAD" w:rsidRDefault="00153381" w:rsidP="00153381">
            <w:pPr>
              <w:rPr>
                <w:rFonts w:ascii="Arial" w:hAnsi="Arial" w:cs="Arial"/>
                <w:sz w:val="24"/>
                <w:szCs w:val="24"/>
                <w:lang w:val="en-GB"/>
              </w:rPr>
            </w:pPr>
            <w:r w:rsidRPr="007A0CAD">
              <w:rPr>
                <w:rFonts w:ascii="Arial" w:hAnsi="Arial" w:cs="Arial"/>
                <w:sz w:val="24"/>
                <w:szCs w:val="24"/>
                <w:lang w:val="en-GB"/>
              </w:rPr>
              <w:t xml:space="preserve">II – to </w:t>
            </w:r>
            <w:proofErr w:type="spellStart"/>
            <w:r w:rsidRPr="007A0CAD">
              <w:rPr>
                <w:rFonts w:ascii="Arial" w:hAnsi="Arial" w:cs="Arial"/>
                <w:sz w:val="24"/>
                <w:szCs w:val="24"/>
                <w:lang w:val="en-GB"/>
              </w:rPr>
              <w:t>analyze</w:t>
            </w:r>
            <w:proofErr w:type="spellEnd"/>
            <w:r w:rsidRPr="007A0CAD">
              <w:rPr>
                <w:rFonts w:ascii="Arial" w:hAnsi="Arial" w:cs="Arial"/>
                <w:sz w:val="24"/>
                <w:szCs w:val="24"/>
                <w:lang w:val="en-GB"/>
              </w:rPr>
              <w:t xml:space="preserve"> information on incidents and to promote the investigation of relevant </w:t>
            </w:r>
            <w:proofErr w:type="gramStart"/>
            <w:r w:rsidRPr="007A0CAD">
              <w:rPr>
                <w:rFonts w:ascii="Arial" w:hAnsi="Arial" w:cs="Arial"/>
                <w:sz w:val="24"/>
                <w:szCs w:val="24"/>
                <w:lang w:val="en-GB"/>
              </w:rPr>
              <w:t>accidents;</w:t>
            </w:r>
            <w:proofErr w:type="gramEnd"/>
          </w:p>
          <w:p w14:paraId="6065D329" w14:textId="77777777" w:rsidR="00153381" w:rsidRPr="007A0CAD" w:rsidRDefault="00153381" w:rsidP="00153381">
            <w:pPr>
              <w:rPr>
                <w:rFonts w:ascii="Arial" w:hAnsi="Arial" w:cs="Arial"/>
                <w:sz w:val="24"/>
                <w:szCs w:val="24"/>
                <w:lang w:val="en-GB"/>
              </w:rPr>
            </w:pPr>
            <w:r w:rsidRPr="007A0CAD">
              <w:rPr>
                <w:rFonts w:ascii="Arial" w:hAnsi="Arial" w:cs="Arial"/>
                <w:sz w:val="24"/>
                <w:szCs w:val="24"/>
                <w:lang w:val="en-GB"/>
              </w:rPr>
              <w:t xml:space="preserve">III – to assess the inclusion of operational safety best practices in the ANP’s regulatory framework, when required by other ANP’s departments, including midstream and downstream </w:t>
            </w:r>
            <w:proofErr w:type="gramStart"/>
            <w:r w:rsidRPr="007A0CAD">
              <w:rPr>
                <w:rFonts w:ascii="Arial" w:hAnsi="Arial" w:cs="Arial"/>
                <w:sz w:val="24"/>
                <w:szCs w:val="24"/>
                <w:lang w:val="en-GB"/>
              </w:rPr>
              <w:t>sectors;</w:t>
            </w:r>
            <w:proofErr w:type="gramEnd"/>
          </w:p>
          <w:p w14:paraId="3D62A74F" w14:textId="19F53915" w:rsidR="00153381" w:rsidRPr="007A0CAD" w:rsidRDefault="00153381" w:rsidP="00153381">
            <w:pPr>
              <w:rPr>
                <w:rFonts w:ascii="Arial" w:hAnsi="Arial" w:cs="Arial"/>
                <w:sz w:val="24"/>
                <w:szCs w:val="24"/>
                <w:lang w:val="en-GB"/>
              </w:rPr>
            </w:pPr>
            <w:r w:rsidRPr="007A0CAD">
              <w:rPr>
                <w:rFonts w:ascii="Arial" w:hAnsi="Arial" w:cs="Arial"/>
                <w:sz w:val="24"/>
                <w:szCs w:val="24"/>
                <w:lang w:val="en-GB"/>
              </w:rPr>
              <w:t xml:space="preserve">IV – to coordinate institutional relations and to propose cooperation agreements with public or private entities, regarding operational safety subjects within E&amp;P </w:t>
            </w:r>
            <w:proofErr w:type="gramStart"/>
            <w:r w:rsidRPr="007A0CAD">
              <w:rPr>
                <w:rFonts w:ascii="Arial" w:hAnsi="Arial" w:cs="Arial"/>
                <w:sz w:val="24"/>
                <w:szCs w:val="24"/>
                <w:lang w:val="en-GB"/>
              </w:rPr>
              <w:t>activities;</w:t>
            </w:r>
            <w:proofErr w:type="gramEnd"/>
          </w:p>
          <w:p w14:paraId="0CB94C42" w14:textId="77777777" w:rsidR="00153381" w:rsidRPr="007A0CAD" w:rsidRDefault="00153381" w:rsidP="00153381">
            <w:pPr>
              <w:rPr>
                <w:rFonts w:ascii="Arial" w:hAnsi="Arial" w:cs="Arial"/>
                <w:sz w:val="24"/>
                <w:szCs w:val="24"/>
                <w:lang w:val="en-GB"/>
              </w:rPr>
            </w:pPr>
            <w:r w:rsidRPr="007A0CAD">
              <w:rPr>
                <w:rFonts w:ascii="Arial" w:hAnsi="Arial" w:cs="Arial"/>
                <w:sz w:val="24"/>
                <w:szCs w:val="24"/>
                <w:lang w:val="en-GB"/>
              </w:rPr>
              <w:t xml:space="preserve">V – to </w:t>
            </w:r>
            <w:proofErr w:type="spellStart"/>
            <w:r w:rsidRPr="007A0CAD">
              <w:rPr>
                <w:rFonts w:ascii="Arial" w:hAnsi="Arial" w:cs="Arial"/>
                <w:sz w:val="24"/>
                <w:szCs w:val="24"/>
                <w:lang w:val="en-GB"/>
              </w:rPr>
              <w:t>analyze</w:t>
            </w:r>
            <w:proofErr w:type="spellEnd"/>
            <w:r w:rsidRPr="007A0CAD">
              <w:rPr>
                <w:rFonts w:ascii="Arial" w:hAnsi="Arial" w:cs="Arial"/>
                <w:sz w:val="24"/>
                <w:szCs w:val="24"/>
                <w:lang w:val="en-GB"/>
              </w:rPr>
              <w:t xml:space="preserve"> the safety performance of the E&amp;P operations; and</w:t>
            </w:r>
          </w:p>
          <w:p w14:paraId="386719E8" w14:textId="3BAF2930" w:rsidR="005A4D1F" w:rsidRPr="007A0CAD" w:rsidRDefault="00153381" w:rsidP="00153381">
            <w:pPr>
              <w:rPr>
                <w:rFonts w:ascii="Arial" w:hAnsi="Arial" w:cs="Arial"/>
                <w:sz w:val="24"/>
                <w:szCs w:val="24"/>
                <w:lang w:val="en-GB"/>
              </w:rPr>
            </w:pPr>
            <w:r w:rsidRPr="007A0CAD">
              <w:rPr>
                <w:rFonts w:ascii="Arial" w:hAnsi="Arial" w:cs="Arial"/>
                <w:sz w:val="24"/>
                <w:szCs w:val="24"/>
                <w:lang w:val="en-GB"/>
              </w:rPr>
              <w:t xml:space="preserve">VI – to approve operational safety documentation, decommissioning </w:t>
            </w:r>
            <w:proofErr w:type="gramStart"/>
            <w:r w:rsidRPr="007A0CAD">
              <w:rPr>
                <w:rFonts w:ascii="Arial" w:hAnsi="Arial" w:cs="Arial"/>
                <w:sz w:val="24"/>
                <w:szCs w:val="24"/>
                <w:lang w:val="en-GB"/>
              </w:rPr>
              <w:t>programs</w:t>
            </w:r>
            <w:proofErr w:type="gramEnd"/>
            <w:r w:rsidRPr="007A0CAD">
              <w:rPr>
                <w:rFonts w:ascii="Arial" w:hAnsi="Arial" w:cs="Arial"/>
                <w:sz w:val="24"/>
                <w:szCs w:val="24"/>
                <w:lang w:val="en-GB"/>
              </w:rPr>
              <w:t xml:space="preserve"> and decommissioning reports.</w:t>
            </w:r>
          </w:p>
        </w:tc>
      </w:tr>
      <w:tr w:rsidR="005A4D1F" w:rsidRPr="007A0CAD" w14:paraId="4884D86C" w14:textId="77777777" w:rsidTr="005A4D1F">
        <w:tc>
          <w:tcPr>
            <w:tcW w:w="1838" w:type="dxa"/>
          </w:tcPr>
          <w:p w14:paraId="20365CAA" w14:textId="77777777" w:rsidR="00013474" w:rsidRPr="00EE6054" w:rsidRDefault="00013474" w:rsidP="00013474">
            <w:pPr>
              <w:rPr>
                <w:rFonts w:ascii="Arial" w:hAnsi="Arial" w:cs="Arial"/>
                <w:b/>
                <w:bCs/>
                <w:sz w:val="24"/>
                <w:szCs w:val="24"/>
              </w:rPr>
            </w:pPr>
            <w:r w:rsidRPr="00EE6054">
              <w:rPr>
                <w:rFonts w:ascii="Arial" w:hAnsi="Arial" w:cs="Arial"/>
                <w:b/>
                <w:bCs/>
                <w:sz w:val="24"/>
                <w:szCs w:val="24"/>
              </w:rPr>
              <w:t>Nature of</w:t>
            </w:r>
          </w:p>
          <w:p w14:paraId="17DAF939" w14:textId="608D9A95" w:rsidR="005A4D1F" w:rsidRPr="00EE6054" w:rsidRDefault="00013474" w:rsidP="00013474">
            <w:pPr>
              <w:jc w:val="center"/>
              <w:rPr>
                <w:rFonts w:ascii="Arial" w:hAnsi="Arial" w:cs="Arial"/>
                <w:b/>
                <w:bCs/>
                <w:sz w:val="24"/>
                <w:szCs w:val="24"/>
              </w:rPr>
            </w:pPr>
            <w:r w:rsidRPr="00EE6054">
              <w:rPr>
                <w:rFonts w:ascii="Arial" w:hAnsi="Arial" w:cs="Arial"/>
                <w:b/>
                <w:bCs/>
                <w:sz w:val="24"/>
                <w:szCs w:val="24"/>
              </w:rPr>
              <w:t>Duties Imposed:</w:t>
            </w:r>
          </w:p>
        </w:tc>
        <w:tc>
          <w:tcPr>
            <w:tcW w:w="6656" w:type="dxa"/>
          </w:tcPr>
          <w:p w14:paraId="0B70DAFC" w14:textId="77777777" w:rsidR="005A4D1F" w:rsidRPr="007A0CAD" w:rsidRDefault="00EF01A8">
            <w:pPr>
              <w:rPr>
                <w:rFonts w:ascii="Arial" w:hAnsi="Arial" w:cs="Arial"/>
                <w:sz w:val="24"/>
                <w:szCs w:val="24"/>
                <w:lang w:val="en-GB"/>
              </w:rPr>
            </w:pPr>
            <w:r w:rsidRPr="007A0CAD">
              <w:rPr>
                <w:rFonts w:ascii="Arial" w:hAnsi="Arial" w:cs="Arial"/>
                <w:sz w:val="24"/>
                <w:szCs w:val="24"/>
                <w:lang w:val="en-GB"/>
              </w:rPr>
              <w:t>Performance-based requirements, structured in supervision framework, safety management systems, and decommissioning rules:</w:t>
            </w:r>
          </w:p>
          <w:p w14:paraId="6F23BF9F" w14:textId="77777777" w:rsidR="00DB70C9" w:rsidRPr="007A0CAD" w:rsidRDefault="00DB70C9">
            <w:pPr>
              <w:rPr>
                <w:rFonts w:ascii="Arial" w:hAnsi="Arial" w:cs="Arial"/>
                <w:sz w:val="24"/>
                <w:szCs w:val="24"/>
                <w:lang w:val="en-GB"/>
              </w:rPr>
            </w:pPr>
          </w:p>
          <w:p w14:paraId="497B2BE0"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Supervision Framework:</w:t>
            </w:r>
          </w:p>
          <w:p w14:paraId="154F069F"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Law n° 9.478/1997</w:t>
            </w:r>
          </w:p>
          <w:p w14:paraId="13BDB7DD" w14:textId="1824200A"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xml:space="preserve">- ANP Resolution n. </w:t>
            </w:r>
            <w:r w:rsidR="00F07BE4">
              <w:rPr>
                <w:rFonts w:ascii="Arial" w:hAnsi="Arial" w:cs="Arial"/>
                <w:sz w:val="24"/>
                <w:szCs w:val="24"/>
                <w:lang w:val="en-GB"/>
              </w:rPr>
              <w:t>882/2022</w:t>
            </w:r>
            <w:r w:rsidRPr="007A0CAD">
              <w:rPr>
                <w:rFonts w:ascii="Arial" w:hAnsi="Arial" w:cs="Arial"/>
                <w:sz w:val="24"/>
                <w:szCs w:val="24"/>
                <w:lang w:val="en-GB"/>
              </w:rPr>
              <w:t xml:space="preserve">: it establishes the procedure for duty holders on reporting incidents to </w:t>
            </w:r>
            <w:r w:rsidR="00F07BE4" w:rsidRPr="007A0CAD">
              <w:rPr>
                <w:rFonts w:ascii="Arial" w:hAnsi="Arial" w:cs="Arial"/>
                <w:sz w:val="24"/>
                <w:szCs w:val="24"/>
                <w:lang w:val="en-GB"/>
              </w:rPr>
              <w:t>SS</w:t>
            </w:r>
            <w:r w:rsidR="00F07BE4">
              <w:rPr>
                <w:rFonts w:ascii="Arial" w:hAnsi="Arial" w:cs="Arial"/>
                <w:sz w:val="24"/>
                <w:szCs w:val="24"/>
                <w:lang w:val="en-GB"/>
              </w:rPr>
              <w:t>O</w:t>
            </w:r>
            <w:r w:rsidRPr="007A0CAD">
              <w:rPr>
                <w:rFonts w:ascii="Arial" w:hAnsi="Arial" w:cs="Arial"/>
                <w:sz w:val="24"/>
                <w:szCs w:val="24"/>
                <w:lang w:val="en-GB"/>
              </w:rPr>
              <w:t>.</w:t>
            </w:r>
          </w:p>
          <w:p w14:paraId="2EF3EDAC" w14:textId="3DCB22AC"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xml:space="preserve">- ANP Resolution n. 851/2021: it establishes the responsibilities and the procedure for duty holders on solving nonconformities identified by auditors from </w:t>
            </w:r>
            <w:r w:rsidR="00C90130" w:rsidRPr="007A0CAD">
              <w:rPr>
                <w:rFonts w:ascii="Arial" w:hAnsi="Arial" w:cs="Arial"/>
                <w:sz w:val="24"/>
                <w:szCs w:val="24"/>
                <w:lang w:val="en-GB"/>
              </w:rPr>
              <w:t>SS</w:t>
            </w:r>
            <w:r w:rsidR="00C90130">
              <w:rPr>
                <w:rFonts w:ascii="Arial" w:hAnsi="Arial" w:cs="Arial"/>
                <w:sz w:val="24"/>
                <w:szCs w:val="24"/>
                <w:lang w:val="en-GB"/>
              </w:rPr>
              <w:t>O</w:t>
            </w:r>
            <w:r w:rsidRPr="007A0CAD">
              <w:rPr>
                <w:rFonts w:ascii="Arial" w:hAnsi="Arial" w:cs="Arial"/>
                <w:sz w:val="24"/>
                <w:szCs w:val="24"/>
                <w:lang w:val="en-GB"/>
              </w:rPr>
              <w:t>.</w:t>
            </w:r>
          </w:p>
          <w:p w14:paraId="763506CD" w14:textId="77777777" w:rsidR="00DB70C9" w:rsidRPr="007A0CAD" w:rsidRDefault="00DB70C9" w:rsidP="00DB70C9">
            <w:pPr>
              <w:rPr>
                <w:rFonts w:ascii="Arial" w:hAnsi="Arial" w:cs="Arial"/>
                <w:sz w:val="24"/>
                <w:szCs w:val="24"/>
                <w:lang w:val="en-GB"/>
              </w:rPr>
            </w:pPr>
          </w:p>
          <w:p w14:paraId="6B52E09A"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Safety Management Systems:</w:t>
            </w:r>
          </w:p>
          <w:p w14:paraId="657F7725"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xml:space="preserve">- ANP Resolution n. 43/2007: it establishes the Technical Regulation of the Operational Safety Management </w:t>
            </w:r>
            <w:r w:rsidRPr="007A0CAD">
              <w:rPr>
                <w:rFonts w:ascii="Arial" w:hAnsi="Arial" w:cs="Arial"/>
                <w:sz w:val="24"/>
                <w:szCs w:val="24"/>
                <w:lang w:val="en-GB"/>
              </w:rPr>
              <w:lastRenderedPageBreak/>
              <w:t>System (SGSO), applicable to offshore drilling and production facilities.</w:t>
            </w:r>
          </w:p>
          <w:p w14:paraId="660AA260"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ANP Resolution n. 02/2010: it establishes the Technical Regulation of the Structural Integrity Management System (SGI) for onshore production facilities and expands the application of the SGSO to onshore activities when carried out by companies that operate offshore.</w:t>
            </w:r>
          </w:p>
          <w:p w14:paraId="41043835"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ANP Resolution n. 06/2011: it establishes the Technical Regulation of Onshore Pipelines (RTDT).</w:t>
            </w:r>
          </w:p>
          <w:p w14:paraId="59ED2258"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ANP Resolution n. 41/2015: it establishes the Technical Regulation of the Subsea Operational Safety Management System (SGSS).</w:t>
            </w:r>
          </w:p>
          <w:p w14:paraId="12C68B6B"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ANP Resolution n. 46/2016: it establishes the Technical Regulation of the Well Integrity Operational Safety Management System (SGIP), applicable to both offshore and offshore wells.</w:t>
            </w:r>
          </w:p>
          <w:p w14:paraId="65DF5293"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Decommissioning Rules:</w:t>
            </w:r>
          </w:p>
          <w:p w14:paraId="2BDB2FD3" w14:textId="436FAEEA"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ANP Resolution n. 817/2020: it establishes rules on decommissioning of exploration and production assets.</w:t>
            </w:r>
          </w:p>
          <w:p w14:paraId="4697CC49" w14:textId="7043524E" w:rsidR="00DB70C9" w:rsidRPr="007A0CAD" w:rsidRDefault="00DB70C9" w:rsidP="00DB70C9">
            <w:pPr>
              <w:rPr>
                <w:rFonts w:ascii="Arial" w:hAnsi="Arial" w:cs="Arial"/>
                <w:sz w:val="24"/>
                <w:szCs w:val="24"/>
                <w:lang w:val="en-GB"/>
              </w:rPr>
            </w:pPr>
          </w:p>
        </w:tc>
      </w:tr>
      <w:tr w:rsidR="005A4D1F" w:rsidRPr="007A0CAD" w14:paraId="5D1F55AE" w14:textId="77777777" w:rsidTr="005A4D1F">
        <w:tc>
          <w:tcPr>
            <w:tcW w:w="1838" w:type="dxa"/>
          </w:tcPr>
          <w:p w14:paraId="2B6F8126" w14:textId="555FC39B" w:rsidR="005A4D1F" w:rsidRPr="00EE6054" w:rsidRDefault="00013474">
            <w:pPr>
              <w:rPr>
                <w:rFonts w:ascii="Arial" w:hAnsi="Arial" w:cs="Arial"/>
                <w:b/>
                <w:bCs/>
                <w:sz w:val="24"/>
                <w:szCs w:val="24"/>
                <w:lang w:val="en-GB"/>
              </w:rPr>
            </w:pPr>
            <w:r w:rsidRPr="00EE6054">
              <w:rPr>
                <w:rFonts w:ascii="Arial" w:hAnsi="Arial" w:cs="Arial"/>
                <w:b/>
                <w:bCs/>
                <w:sz w:val="24"/>
                <w:szCs w:val="24"/>
                <w:lang w:val="en-GB"/>
              </w:rPr>
              <w:lastRenderedPageBreak/>
              <w:t>Physical Objects in the Regime:</w:t>
            </w:r>
          </w:p>
        </w:tc>
        <w:tc>
          <w:tcPr>
            <w:tcW w:w="6656" w:type="dxa"/>
          </w:tcPr>
          <w:p w14:paraId="6FBA6771" w14:textId="44357E14" w:rsidR="005A4D1F" w:rsidRPr="007A0CAD" w:rsidRDefault="00DB70C9" w:rsidP="00EF01A8">
            <w:pPr>
              <w:rPr>
                <w:rFonts w:ascii="Arial" w:hAnsi="Arial" w:cs="Arial"/>
                <w:sz w:val="24"/>
                <w:szCs w:val="24"/>
                <w:lang w:val="en-GB"/>
              </w:rPr>
            </w:pPr>
            <w:r w:rsidRPr="007A0CAD">
              <w:rPr>
                <w:rFonts w:ascii="Arial" w:hAnsi="Arial" w:cs="Arial"/>
                <w:sz w:val="24"/>
                <w:szCs w:val="24"/>
                <w:lang w:val="en-GB"/>
              </w:rPr>
              <w:t xml:space="preserve">Offshore and onshore assets, including surface and subsea structures, equipment, </w:t>
            </w:r>
            <w:proofErr w:type="gramStart"/>
            <w:r w:rsidRPr="007A0CAD">
              <w:rPr>
                <w:rFonts w:ascii="Arial" w:hAnsi="Arial" w:cs="Arial"/>
                <w:sz w:val="24"/>
                <w:szCs w:val="24"/>
                <w:lang w:val="en-GB"/>
              </w:rPr>
              <w:t>wells</w:t>
            </w:r>
            <w:proofErr w:type="gramEnd"/>
            <w:r w:rsidRPr="007A0CAD">
              <w:rPr>
                <w:rFonts w:ascii="Arial" w:hAnsi="Arial" w:cs="Arial"/>
                <w:sz w:val="24"/>
                <w:szCs w:val="24"/>
                <w:lang w:val="en-GB"/>
              </w:rPr>
              <w:t xml:space="preserve"> and pipeline.</w:t>
            </w:r>
          </w:p>
        </w:tc>
      </w:tr>
      <w:tr w:rsidR="00013474" w:rsidRPr="007A0CAD" w14:paraId="11AB52E1" w14:textId="77777777" w:rsidTr="005A4D1F">
        <w:tc>
          <w:tcPr>
            <w:tcW w:w="1838" w:type="dxa"/>
          </w:tcPr>
          <w:p w14:paraId="08166038" w14:textId="5FB3D63D" w:rsidR="00013474" w:rsidRPr="00EE6054" w:rsidRDefault="007624F8">
            <w:pPr>
              <w:rPr>
                <w:rFonts w:ascii="Arial" w:hAnsi="Arial" w:cs="Arial"/>
                <w:b/>
                <w:bCs/>
                <w:sz w:val="24"/>
                <w:szCs w:val="24"/>
                <w:lang w:val="en-GB"/>
              </w:rPr>
            </w:pPr>
            <w:r w:rsidRPr="00EE6054">
              <w:rPr>
                <w:rFonts w:ascii="Arial" w:hAnsi="Arial" w:cs="Arial"/>
                <w:b/>
                <w:bCs/>
                <w:sz w:val="24"/>
                <w:szCs w:val="24"/>
                <w:lang w:val="en-GB"/>
              </w:rPr>
              <w:t>Assurance Mechanisms:</w:t>
            </w:r>
          </w:p>
        </w:tc>
        <w:tc>
          <w:tcPr>
            <w:tcW w:w="6656" w:type="dxa"/>
          </w:tcPr>
          <w:p w14:paraId="1E025DF0"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Enforcement actions involve:</w:t>
            </w:r>
          </w:p>
          <w:p w14:paraId="5BDA87E4"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providing information and advice</w:t>
            </w:r>
          </w:p>
          <w:p w14:paraId="699C2F82"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issuing orders</w:t>
            </w:r>
          </w:p>
          <w:p w14:paraId="27D78DD5"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issuing fines</w:t>
            </w:r>
          </w:p>
          <w:p w14:paraId="1368E4AC"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shutting down operations, establishing prohibitions and exemptions</w:t>
            </w:r>
          </w:p>
          <w:p w14:paraId="3A19481E"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withdrawing approvals</w:t>
            </w:r>
          </w:p>
          <w:p w14:paraId="76F07220" w14:textId="77777777" w:rsidR="00DB70C9" w:rsidRPr="007A0CAD" w:rsidRDefault="00DB70C9" w:rsidP="00DB70C9">
            <w:pPr>
              <w:rPr>
                <w:rFonts w:ascii="Arial" w:hAnsi="Arial" w:cs="Arial"/>
                <w:sz w:val="24"/>
                <w:szCs w:val="24"/>
                <w:lang w:val="en-GB"/>
              </w:rPr>
            </w:pPr>
          </w:p>
          <w:p w14:paraId="01571D8E"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Enforcement strategy involves:</w:t>
            </w:r>
          </w:p>
          <w:p w14:paraId="061581AB"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meetings</w:t>
            </w:r>
          </w:p>
          <w:p w14:paraId="021C2FA1"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audits</w:t>
            </w:r>
          </w:p>
          <w:p w14:paraId="0E5BDC6F"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accident investigations</w:t>
            </w:r>
          </w:p>
          <w:p w14:paraId="75245795" w14:textId="77777777" w:rsidR="00DB70C9" w:rsidRPr="007A0CAD" w:rsidRDefault="00DB70C9" w:rsidP="00DB70C9">
            <w:pPr>
              <w:rPr>
                <w:rFonts w:ascii="Arial" w:hAnsi="Arial" w:cs="Arial"/>
                <w:sz w:val="24"/>
                <w:szCs w:val="24"/>
                <w:lang w:val="en-GB"/>
              </w:rPr>
            </w:pPr>
            <w:r w:rsidRPr="007A0CAD">
              <w:rPr>
                <w:rFonts w:ascii="Arial" w:hAnsi="Arial" w:cs="Arial"/>
                <w:sz w:val="24"/>
                <w:szCs w:val="24"/>
                <w:lang w:val="en-GB"/>
              </w:rPr>
              <w:t>• performance analyses</w:t>
            </w:r>
          </w:p>
          <w:p w14:paraId="5D75F7AB" w14:textId="0E40D28B" w:rsidR="00013474" w:rsidRPr="007A0CAD" w:rsidRDefault="00DB70C9" w:rsidP="00DB70C9">
            <w:pPr>
              <w:rPr>
                <w:rFonts w:ascii="Arial" w:hAnsi="Arial" w:cs="Arial"/>
                <w:sz w:val="24"/>
                <w:szCs w:val="24"/>
                <w:lang w:val="en-GB"/>
              </w:rPr>
            </w:pPr>
            <w:r w:rsidRPr="007A0CAD">
              <w:rPr>
                <w:rFonts w:ascii="Arial" w:hAnsi="Arial" w:cs="Arial"/>
                <w:sz w:val="24"/>
                <w:szCs w:val="24"/>
                <w:lang w:val="en-GB"/>
              </w:rPr>
              <w:t>• cooperation in specific projects on good practices</w:t>
            </w:r>
          </w:p>
        </w:tc>
      </w:tr>
      <w:tr w:rsidR="00013474" w:rsidRPr="007A0CAD" w14:paraId="3F0EB131" w14:textId="77777777" w:rsidTr="005A4D1F">
        <w:tc>
          <w:tcPr>
            <w:tcW w:w="1838" w:type="dxa"/>
          </w:tcPr>
          <w:p w14:paraId="47D9EEF6" w14:textId="2B74F2C8" w:rsidR="00013474" w:rsidRPr="00EE6054" w:rsidRDefault="007624F8">
            <w:pPr>
              <w:rPr>
                <w:rFonts w:ascii="Arial" w:hAnsi="Arial" w:cs="Arial"/>
                <w:b/>
                <w:bCs/>
                <w:sz w:val="24"/>
                <w:szCs w:val="24"/>
                <w:lang w:val="en-GB"/>
              </w:rPr>
            </w:pPr>
            <w:r w:rsidRPr="00EE6054">
              <w:rPr>
                <w:rFonts w:ascii="Arial" w:hAnsi="Arial" w:cs="Arial"/>
                <w:b/>
                <w:bCs/>
                <w:sz w:val="24"/>
                <w:szCs w:val="24"/>
                <w:lang w:val="en-GB"/>
              </w:rPr>
              <w:t>Financial Basis:</w:t>
            </w:r>
          </w:p>
        </w:tc>
        <w:tc>
          <w:tcPr>
            <w:tcW w:w="6656" w:type="dxa"/>
          </w:tcPr>
          <w:p w14:paraId="35AFBFA5" w14:textId="77777777" w:rsidR="00D43345" w:rsidRPr="007A0CAD" w:rsidRDefault="00D43345" w:rsidP="00D43345">
            <w:pPr>
              <w:rPr>
                <w:rFonts w:ascii="Arial" w:hAnsi="Arial" w:cs="Arial"/>
                <w:sz w:val="24"/>
                <w:szCs w:val="24"/>
                <w:lang w:val="en-GB"/>
              </w:rPr>
            </w:pPr>
            <w:r w:rsidRPr="007A0CAD">
              <w:rPr>
                <w:rFonts w:ascii="Arial" w:hAnsi="Arial" w:cs="Arial"/>
                <w:sz w:val="24"/>
                <w:szCs w:val="24"/>
                <w:lang w:val="en-GB"/>
              </w:rPr>
              <w:t>To ANP:</w:t>
            </w:r>
          </w:p>
          <w:p w14:paraId="3257F881" w14:textId="77777777" w:rsidR="00D43345" w:rsidRPr="007A0CAD" w:rsidRDefault="00D43345" w:rsidP="00D43345">
            <w:pPr>
              <w:rPr>
                <w:rFonts w:ascii="Arial" w:hAnsi="Arial" w:cs="Arial"/>
                <w:sz w:val="24"/>
                <w:szCs w:val="24"/>
                <w:lang w:val="en-GB"/>
              </w:rPr>
            </w:pPr>
            <w:r w:rsidRPr="007A0CAD">
              <w:rPr>
                <w:rFonts w:ascii="Arial" w:hAnsi="Arial" w:cs="Arial"/>
                <w:sz w:val="24"/>
                <w:szCs w:val="24"/>
                <w:lang w:val="en-GB"/>
              </w:rPr>
              <w:t>- Government budget funds, which depends on Congress approval</w:t>
            </w:r>
          </w:p>
          <w:p w14:paraId="73E5455A" w14:textId="77777777" w:rsidR="00D43345" w:rsidRPr="007A0CAD" w:rsidRDefault="00D43345" w:rsidP="00D43345">
            <w:pPr>
              <w:rPr>
                <w:rFonts w:ascii="Arial" w:hAnsi="Arial" w:cs="Arial"/>
                <w:sz w:val="24"/>
                <w:szCs w:val="24"/>
                <w:lang w:val="en-GB"/>
              </w:rPr>
            </w:pPr>
            <w:r w:rsidRPr="007A0CAD">
              <w:rPr>
                <w:rFonts w:ascii="Arial" w:hAnsi="Arial" w:cs="Arial"/>
                <w:sz w:val="24"/>
                <w:szCs w:val="24"/>
                <w:lang w:val="en-GB"/>
              </w:rPr>
              <w:t>- Bidding rounds bonuses (paid by companies that obtain concession areas)</w:t>
            </w:r>
          </w:p>
          <w:p w14:paraId="3DA27B64" w14:textId="77777777" w:rsidR="00D43345" w:rsidRPr="007A0CAD" w:rsidRDefault="00D43345" w:rsidP="00D43345">
            <w:pPr>
              <w:rPr>
                <w:rFonts w:ascii="Arial" w:hAnsi="Arial" w:cs="Arial"/>
                <w:sz w:val="24"/>
                <w:szCs w:val="24"/>
                <w:lang w:val="en-GB"/>
              </w:rPr>
            </w:pPr>
            <w:r w:rsidRPr="007A0CAD">
              <w:rPr>
                <w:rFonts w:ascii="Arial" w:hAnsi="Arial" w:cs="Arial"/>
                <w:sz w:val="24"/>
                <w:szCs w:val="24"/>
                <w:lang w:val="en-GB"/>
              </w:rPr>
              <w:t>- Fees and fines</w:t>
            </w:r>
          </w:p>
          <w:p w14:paraId="0EB1336E" w14:textId="1D64822C" w:rsidR="00013474" w:rsidRPr="007A0CAD" w:rsidRDefault="00D43345" w:rsidP="00D43345">
            <w:pPr>
              <w:rPr>
                <w:rFonts w:ascii="Arial" w:hAnsi="Arial" w:cs="Arial"/>
                <w:sz w:val="24"/>
                <w:szCs w:val="24"/>
                <w:lang w:val="en-GB"/>
              </w:rPr>
            </w:pPr>
            <w:r w:rsidRPr="007A0CAD">
              <w:rPr>
                <w:rFonts w:ascii="Arial" w:hAnsi="Arial" w:cs="Arial"/>
                <w:sz w:val="24"/>
                <w:szCs w:val="24"/>
                <w:lang w:val="en-GB"/>
              </w:rPr>
              <w:t>- Enabling geological and geophysical data access from the National Database of Exploration and Production (BDEP)</w:t>
            </w:r>
          </w:p>
        </w:tc>
      </w:tr>
      <w:tr w:rsidR="00013474" w:rsidRPr="007A0CAD" w14:paraId="301ECF3E" w14:textId="77777777" w:rsidTr="005A4D1F">
        <w:tc>
          <w:tcPr>
            <w:tcW w:w="1838" w:type="dxa"/>
          </w:tcPr>
          <w:p w14:paraId="47705D98" w14:textId="013D0D50" w:rsidR="00013474" w:rsidRPr="00EE6054" w:rsidRDefault="007624F8">
            <w:pPr>
              <w:rPr>
                <w:rFonts w:ascii="Arial" w:hAnsi="Arial" w:cs="Arial"/>
                <w:b/>
                <w:bCs/>
                <w:sz w:val="24"/>
                <w:szCs w:val="24"/>
                <w:lang w:val="en-GB"/>
              </w:rPr>
            </w:pPr>
            <w:r w:rsidRPr="00EE6054">
              <w:rPr>
                <w:rFonts w:ascii="Arial" w:hAnsi="Arial" w:cs="Arial"/>
                <w:b/>
                <w:bCs/>
                <w:sz w:val="24"/>
                <w:szCs w:val="24"/>
                <w:lang w:val="en-GB"/>
              </w:rPr>
              <w:t>Environmental Regulation Responsibilities:</w:t>
            </w:r>
          </w:p>
        </w:tc>
        <w:tc>
          <w:tcPr>
            <w:tcW w:w="6656" w:type="dxa"/>
          </w:tcPr>
          <w:p w14:paraId="3CC36C4E" w14:textId="2A19362C" w:rsidR="00013474" w:rsidRPr="007A0CAD" w:rsidRDefault="00D43345" w:rsidP="009026B0">
            <w:pPr>
              <w:rPr>
                <w:rFonts w:ascii="Arial" w:hAnsi="Arial" w:cs="Arial"/>
                <w:sz w:val="24"/>
                <w:szCs w:val="24"/>
                <w:lang w:val="en-GB"/>
              </w:rPr>
            </w:pPr>
            <w:r w:rsidRPr="007A0CAD">
              <w:rPr>
                <w:rFonts w:ascii="Arial" w:hAnsi="Arial" w:cs="Arial"/>
                <w:sz w:val="24"/>
                <w:szCs w:val="24"/>
                <w:lang w:val="en-GB"/>
              </w:rPr>
              <w:t>Issues related to environmental regulation are responsibility of the Brazilian Institute of the Environment and Renewable Natural Resources (</w:t>
            </w:r>
            <w:proofErr w:type="spellStart"/>
            <w:r w:rsidRPr="007A0CAD">
              <w:rPr>
                <w:rFonts w:ascii="Arial" w:hAnsi="Arial" w:cs="Arial"/>
                <w:sz w:val="24"/>
                <w:szCs w:val="24"/>
                <w:lang w:val="en-GB"/>
              </w:rPr>
              <w:t>Ibama</w:t>
            </w:r>
            <w:proofErr w:type="spellEnd"/>
            <w:r w:rsidRPr="007A0CAD">
              <w:rPr>
                <w:rFonts w:ascii="Arial" w:hAnsi="Arial" w:cs="Arial"/>
                <w:sz w:val="24"/>
                <w:szCs w:val="24"/>
                <w:lang w:val="en-GB"/>
              </w:rPr>
              <w:t>) and the environmental state agencies.</w:t>
            </w:r>
          </w:p>
        </w:tc>
      </w:tr>
      <w:tr w:rsidR="00013474" w:rsidRPr="007A0CAD" w14:paraId="5B4E1858" w14:textId="77777777" w:rsidTr="005A4D1F">
        <w:tc>
          <w:tcPr>
            <w:tcW w:w="1838" w:type="dxa"/>
          </w:tcPr>
          <w:p w14:paraId="53C32B03" w14:textId="03EC3539" w:rsidR="00013474" w:rsidRPr="00EE6054" w:rsidRDefault="007624F8">
            <w:pPr>
              <w:rPr>
                <w:rFonts w:ascii="Arial" w:hAnsi="Arial" w:cs="Arial"/>
                <w:b/>
                <w:bCs/>
                <w:sz w:val="24"/>
                <w:szCs w:val="24"/>
                <w:lang w:val="en-GB"/>
              </w:rPr>
            </w:pPr>
            <w:r w:rsidRPr="00EE6054">
              <w:rPr>
                <w:rFonts w:ascii="Arial" w:hAnsi="Arial" w:cs="Arial"/>
                <w:b/>
                <w:bCs/>
                <w:sz w:val="24"/>
                <w:szCs w:val="24"/>
                <w:lang w:val="en-GB"/>
              </w:rPr>
              <w:lastRenderedPageBreak/>
              <w:t>Oil Spill Response:</w:t>
            </w:r>
          </w:p>
        </w:tc>
        <w:tc>
          <w:tcPr>
            <w:tcW w:w="6656" w:type="dxa"/>
          </w:tcPr>
          <w:p w14:paraId="01560017" w14:textId="1BF2DB0C" w:rsidR="00013474" w:rsidRPr="007A0CAD" w:rsidRDefault="00D43345">
            <w:pPr>
              <w:rPr>
                <w:rFonts w:ascii="Arial" w:hAnsi="Arial" w:cs="Arial"/>
                <w:sz w:val="24"/>
                <w:szCs w:val="24"/>
                <w:lang w:val="en-GB"/>
              </w:rPr>
            </w:pPr>
            <w:r w:rsidRPr="007A0CAD">
              <w:rPr>
                <w:rFonts w:ascii="Arial" w:hAnsi="Arial" w:cs="Arial"/>
                <w:sz w:val="24"/>
                <w:szCs w:val="24"/>
                <w:lang w:val="en-GB"/>
              </w:rPr>
              <w:t>Issues related to oil spill response are responsibility of the Brazilian Institute of the Environment and Renewable Natural Resources (</w:t>
            </w:r>
            <w:proofErr w:type="spellStart"/>
            <w:r w:rsidRPr="007A0CAD">
              <w:rPr>
                <w:rFonts w:ascii="Arial" w:hAnsi="Arial" w:cs="Arial"/>
                <w:sz w:val="24"/>
                <w:szCs w:val="24"/>
                <w:lang w:val="en-GB"/>
              </w:rPr>
              <w:t>Ibama</w:t>
            </w:r>
            <w:proofErr w:type="spellEnd"/>
            <w:r w:rsidRPr="007A0CAD">
              <w:rPr>
                <w:rFonts w:ascii="Arial" w:hAnsi="Arial" w:cs="Arial"/>
                <w:sz w:val="24"/>
                <w:szCs w:val="24"/>
                <w:lang w:val="en-GB"/>
              </w:rPr>
              <w:t>), Maritime Authority, and the environmental state agencies. The ANP may act as member or leader of the emergency response structure of the National Contingency Plan triggered by major oil spills, depending on the source of the emergency.</w:t>
            </w:r>
          </w:p>
        </w:tc>
      </w:tr>
      <w:tr w:rsidR="007624F8" w:rsidRPr="007A0CAD" w14:paraId="0C34765F" w14:textId="77777777" w:rsidTr="005A4D1F">
        <w:tc>
          <w:tcPr>
            <w:tcW w:w="1838" w:type="dxa"/>
          </w:tcPr>
          <w:p w14:paraId="0CA7CB57" w14:textId="10FB41DC" w:rsidR="007624F8" w:rsidRPr="00EE6054" w:rsidRDefault="00D343D0">
            <w:pPr>
              <w:rPr>
                <w:rFonts w:ascii="Arial" w:hAnsi="Arial" w:cs="Arial"/>
                <w:b/>
                <w:bCs/>
                <w:sz w:val="24"/>
                <w:szCs w:val="24"/>
                <w:lang w:val="en-GB"/>
              </w:rPr>
            </w:pPr>
            <w:r w:rsidRPr="00EE6054">
              <w:rPr>
                <w:rFonts w:ascii="Arial" w:hAnsi="Arial" w:cs="Arial"/>
                <w:b/>
                <w:bCs/>
                <w:sz w:val="24"/>
                <w:szCs w:val="24"/>
                <w:lang w:val="en-GB"/>
              </w:rPr>
              <w:t>Transparency:</w:t>
            </w:r>
          </w:p>
        </w:tc>
        <w:tc>
          <w:tcPr>
            <w:tcW w:w="6656" w:type="dxa"/>
          </w:tcPr>
          <w:p w14:paraId="3F3DC1E9" w14:textId="647A358F" w:rsidR="00B826C1" w:rsidRPr="007A0CAD" w:rsidRDefault="00B826C1" w:rsidP="00B826C1">
            <w:pPr>
              <w:rPr>
                <w:rFonts w:ascii="Arial" w:hAnsi="Arial" w:cs="Arial"/>
                <w:sz w:val="24"/>
                <w:szCs w:val="24"/>
                <w:lang w:val="en-GB"/>
              </w:rPr>
            </w:pPr>
            <w:r w:rsidRPr="007A0CAD">
              <w:rPr>
                <w:rFonts w:ascii="Arial" w:hAnsi="Arial" w:cs="Arial"/>
                <w:sz w:val="24"/>
                <w:szCs w:val="24"/>
                <w:lang w:val="en-GB"/>
              </w:rPr>
              <w:t>Data and information from SS</w:t>
            </w:r>
            <w:r w:rsidR="00B7049B">
              <w:rPr>
                <w:rFonts w:ascii="Arial" w:hAnsi="Arial" w:cs="Arial"/>
                <w:sz w:val="24"/>
                <w:szCs w:val="24"/>
                <w:lang w:val="en-GB"/>
              </w:rPr>
              <w:t>O</w:t>
            </w:r>
            <w:r w:rsidRPr="007A0CAD">
              <w:rPr>
                <w:rFonts w:ascii="Arial" w:hAnsi="Arial" w:cs="Arial"/>
                <w:sz w:val="24"/>
                <w:szCs w:val="24"/>
                <w:lang w:val="en-GB"/>
              </w:rPr>
              <w:t xml:space="preserve"> actions can be consulted at:</w:t>
            </w:r>
          </w:p>
          <w:p w14:paraId="3F44CADB" w14:textId="4706F018" w:rsidR="00B826C1" w:rsidRPr="007A0CAD" w:rsidRDefault="00C96A19" w:rsidP="00B826C1">
            <w:pPr>
              <w:rPr>
                <w:rFonts w:ascii="Arial" w:hAnsi="Arial" w:cs="Arial"/>
                <w:sz w:val="24"/>
                <w:szCs w:val="24"/>
                <w:lang w:val="en-GB"/>
              </w:rPr>
            </w:pPr>
            <w:hyperlink r:id="rId4" w:history="1">
              <w:r w:rsidR="00B826C1" w:rsidRPr="007A0CAD">
                <w:rPr>
                  <w:rStyle w:val="Hyperlink"/>
                  <w:rFonts w:ascii="Arial" w:hAnsi="Arial" w:cs="Arial"/>
                  <w:sz w:val="24"/>
                  <w:szCs w:val="24"/>
                  <w:lang w:val="en-GB"/>
                </w:rPr>
                <w:t>https://www.gov.br/anp/pt-br/assuntos/exploracao-e-producao-de-oleo-e-gas/seguranca-operacional-e-meio-ambiente</w:t>
              </w:r>
            </w:hyperlink>
            <w:r w:rsidR="00B826C1" w:rsidRPr="007A0CAD">
              <w:rPr>
                <w:rFonts w:ascii="Arial" w:hAnsi="Arial" w:cs="Arial"/>
                <w:sz w:val="24"/>
                <w:szCs w:val="24"/>
                <w:lang w:val="en-GB"/>
              </w:rPr>
              <w:t xml:space="preserve">. </w:t>
            </w:r>
          </w:p>
          <w:p w14:paraId="4D270AC6" w14:textId="77777777" w:rsidR="00B826C1" w:rsidRPr="007A0CAD" w:rsidRDefault="00B826C1" w:rsidP="00B826C1">
            <w:pPr>
              <w:rPr>
                <w:rFonts w:ascii="Arial" w:hAnsi="Arial" w:cs="Arial"/>
                <w:sz w:val="24"/>
                <w:szCs w:val="24"/>
                <w:lang w:val="en-GB"/>
              </w:rPr>
            </w:pPr>
            <w:r w:rsidRPr="007A0CAD">
              <w:rPr>
                <w:rFonts w:ascii="Arial" w:hAnsi="Arial" w:cs="Arial"/>
                <w:sz w:val="24"/>
                <w:szCs w:val="24"/>
                <w:lang w:val="en-GB"/>
              </w:rPr>
              <w:t>A Dynamic Panel with real-time data regarding activities is available at:</w:t>
            </w:r>
          </w:p>
          <w:p w14:paraId="0977E573" w14:textId="3B9B9389" w:rsidR="007624F8" w:rsidRDefault="00C96A19" w:rsidP="00B826C1">
            <w:pPr>
              <w:rPr>
                <w:rFonts w:ascii="Arial" w:hAnsi="Arial" w:cs="Arial"/>
                <w:sz w:val="24"/>
                <w:szCs w:val="24"/>
                <w:lang w:val="en-GB"/>
              </w:rPr>
            </w:pPr>
            <w:hyperlink r:id="rId5" w:history="1">
              <w:r w:rsidR="00B7049B" w:rsidRPr="00A937D1">
                <w:rPr>
                  <w:rStyle w:val="Hyperlink"/>
                  <w:rFonts w:ascii="Arial" w:hAnsi="Arial" w:cs="Arial"/>
                  <w:sz w:val="24"/>
                  <w:szCs w:val="24"/>
                  <w:lang w:val="en-GB"/>
                </w:rPr>
                <w:t>https://www.gov.br/anp/pt-br/centrais-de-conteudo/paineis-dinamicos-da-anp/paineis-dinamicos-sobre-exploracao-e-producao-de-petroleo-e-gas</w:t>
              </w:r>
            </w:hyperlink>
          </w:p>
          <w:p w14:paraId="1C308394" w14:textId="35037D4E" w:rsidR="00B7049B" w:rsidRPr="007A0CAD" w:rsidRDefault="00B7049B" w:rsidP="00B826C1">
            <w:pPr>
              <w:rPr>
                <w:rFonts w:ascii="Arial" w:hAnsi="Arial" w:cs="Arial"/>
                <w:sz w:val="24"/>
                <w:szCs w:val="24"/>
                <w:lang w:val="en-GB"/>
              </w:rPr>
            </w:pPr>
          </w:p>
        </w:tc>
      </w:tr>
      <w:tr w:rsidR="00D343D0" w:rsidRPr="007A0CAD" w14:paraId="7B4672DB" w14:textId="77777777" w:rsidTr="005A4D1F">
        <w:tc>
          <w:tcPr>
            <w:tcW w:w="1838" w:type="dxa"/>
          </w:tcPr>
          <w:p w14:paraId="299C911F" w14:textId="57C42B2D" w:rsidR="00D343D0" w:rsidRPr="00EE6054" w:rsidRDefault="00D343D0">
            <w:pPr>
              <w:rPr>
                <w:rFonts w:ascii="Arial" w:hAnsi="Arial" w:cs="Arial"/>
                <w:b/>
                <w:bCs/>
                <w:sz w:val="24"/>
                <w:szCs w:val="24"/>
                <w:lang w:val="en-GB"/>
              </w:rPr>
            </w:pPr>
            <w:r w:rsidRPr="00EE6054">
              <w:rPr>
                <w:rFonts w:ascii="Arial" w:hAnsi="Arial" w:cs="Arial"/>
                <w:b/>
                <w:bCs/>
                <w:sz w:val="24"/>
                <w:szCs w:val="24"/>
                <w:lang w:val="en-GB"/>
              </w:rPr>
              <w:t>Research</w:t>
            </w:r>
          </w:p>
        </w:tc>
        <w:tc>
          <w:tcPr>
            <w:tcW w:w="6656" w:type="dxa"/>
          </w:tcPr>
          <w:p w14:paraId="76782C3F" w14:textId="0A7DA924" w:rsidR="00D343D0" w:rsidRPr="007A0CAD" w:rsidRDefault="00B826C1">
            <w:pPr>
              <w:rPr>
                <w:rFonts w:ascii="Arial" w:hAnsi="Arial" w:cs="Arial"/>
                <w:sz w:val="24"/>
                <w:szCs w:val="24"/>
                <w:lang w:val="en-GB"/>
              </w:rPr>
            </w:pPr>
            <w:r w:rsidRPr="007A0CAD">
              <w:rPr>
                <w:rFonts w:ascii="Arial" w:hAnsi="Arial" w:cs="Arial"/>
                <w:sz w:val="24"/>
                <w:szCs w:val="24"/>
                <w:lang w:val="en-GB"/>
              </w:rPr>
              <w:t xml:space="preserve">E&amp;P production sharing contracts or highly productive concessions paying special participation are required to invest 0.5 to 1% in research, </w:t>
            </w:r>
            <w:proofErr w:type="gramStart"/>
            <w:r w:rsidRPr="007A0CAD">
              <w:rPr>
                <w:rFonts w:ascii="Arial" w:hAnsi="Arial" w:cs="Arial"/>
                <w:sz w:val="24"/>
                <w:szCs w:val="24"/>
                <w:lang w:val="en-GB"/>
              </w:rPr>
              <w:t>development</w:t>
            </w:r>
            <w:proofErr w:type="gramEnd"/>
            <w:r w:rsidRPr="007A0CAD">
              <w:rPr>
                <w:rFonts w:ascii="Arial" w:hAnsi="Arial" w:cs="Arial"/>
                <w:sz w:val="24"/>
                <w:szCs w:val="24"/>
                <w:lang w:val="en-GB"/>
              </w:rPr>
              <w:t xml:space="preserve"> and innovation.</w:t>
            </w:r>
          </w:p>
        </w:tc>
      </w:tr>
      <w:tr w:rsidR="00D343D0" w:rsidRPr="007A0CAD" w14:paraId="5F5AA830" w14:textId="77777777" w:rsidTr="005A4D1F">
        <w:tc>
          <w:tcPr>
            <w:tcW w:w="1838" w:type="dxa"/>
          </w:tcPr>
          <w:p w14:paraId="0E133FEB" w14:textId="177D752F" w:rsidR="00D343D0" w:rsidRPr="00EE6054" w:rsidRDefault="00D343D0">
            <w:pPr>
              <w:rPr>
                <w:rFonts w:ascii="Arial" w:hAnsi="Arial" w:cs="Arial"/>
                <w:b/>
                <w:bCs/>
                <w:sz w:val="24"/>
                <w:szCs w:val="24"/>
                <w:lang w:val="en-GB"/>
              </w:rPr>
            </w:pPr>
            <w:r w:rsidRPr="00EE6054">
              <w:rPr>
                <w:rFonts w:ascii="Arial" w:hAnsi="Arial" w:cs="Arial"/>
                <w:b/>
                <w:bCs/>
                <w:sz w:val="24"/>
                <w:szCs w:val="24"/>
                <w:lang w:val="en-GB"/>
              </w:rPr>
              <w:t>Profile Date:</w:t>
            </w:r>
          </w:p>
        </w:tc>
        <w:tc>
          <w:tcPr>
            <w:tcW w:w="6656" w:type="dxa"/>
          </w:tcPr>
          <w:p w14:paraId="1387E4A1" w14:textId="6FE3B590" w:rsidR="00D343D0" w:rsidRPr="007A0CAD" w:rsidRDefault="00C96A19">
            <w:pPr>
              <w:rPr>
                <w:rFonts w:ascii="Arial" w:hAnsi="Arial" w:cs="Arial"/>
                <w:sz w:val="24"/>
                <w:szCs w:val="24"/>
                <w:lang w:val="en-GB"/>
              </w:rPr>
            </w:pPr>
            <w:r>
              <w:rPr>
                <w:rFonts w:ascii="Arial" w:hAnsi="Arial" w:cs="Arial"/>
                <w:sz w:val="24"/>
                <w:szCs w:val="24"/>
                <w:lang w:val="en-GB"/>
              </w:rPr>
              <w:t>July 2024</w:t>
            </w:r>
          </w:p>
        </w:tc>
      </w:tr>
    </w:tbl>
    <w:p w14:paraId="72968534" w14:textId="77777777" w:rsidR="005A4D1F" w:rsidRPr="00013474" w:rsidRDefault="005A4D1F">
      <w:pPr>
        <w:rPr>
          <w:lang w:val="en-GB"/>
        </w:rPr>
      </w:pPr>
    </w:p>
    <w:sectPr w:rsidR="005A4D1F" w:rsidRPr="000134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49"/>
    <w:rsid w:val="00013474"/>
    <w:rsid w:val="0005658F"/>
    <w:rsid w:val="000D7462"/>
    <w:rsid w:val="001217DD"/>
    <w:rsid w:val="00153381"/>
    <w:rsid w:val="001A2C19"/>
    <w:rsid w:val="005A4D1F"/>
    <w:rsid w:val="005D7759"/>
    <w:rsid w:val="005E2911"/>
    <w:rsid w:val="00756782"/>
    <w:rsid w:val="007624F8"/>
    <w:rsid w:val="007A0CAD"/>
    <w:rsid w:val="007C61DA"/>
    <w:rsid w:val="00811641"/>
    <w:rsid w:val="009026B0"/>
    <w:rsid w:val="00AE2060"/>
    <w:rsid w:val="00AE3C49"/>
    <w:rsid w:val="00B7049B"/>
    <w:rsid w:val="00B826C1"/>
    <w:rsid w:val="00C90130"/>
    <w:rsid w:val="00C96A19"/>
    <w:rsid w:val="00D343D0"/>
    <w:rsid w:val="00D43345"/>
    <w:rsid w:val="00DB70C9"/>
    <w:rsid w:val="00E40145"/>
    <w:rsid w:val="00EE6054"/>
    <w:rsid w:val="00EF01A8"/>
    <w:rsid w:val="00F07B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CB14"/>
  <w15:chartTrackingRefBased/>
  <w15:docId w15:val="{FDA7EC30-D7A5-45BA-B14A-C6745126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6C1"/>
    <w:rPr>
      <w:color w:val="0563C1" w:themeColor="hyperlink"/>
      <w:u w:val="single"/>
    </w:rPr>
  </w:style>
  <w:style w:type="character" w:styleId="UnresolvedMention">
    <w:name w:val="Unresolved Mention"/>
    <w:basedOn w:val="DefaultParagraphFont"/>
    <w:uiPriority w:val="99"/>
    <w:semiHidden/>
    <w:unhideWhenUsed/>
    <w:rsid w:val="00B826C1"/>
    <w:rPr>
      <w:color w:val="605E5C"/>
      <w:shd w:val="clear" w:color="auto" w:fill="E1DFDD"/>
    </w:rPr>
  </w:style>
  <w:style w:type="paragraph" w:styleId="Revision">
    <w:name w:val="Revision"/>
    <w:hidden/>
    <w:uiPriority w:val="99"/>
    <w:semiHidden/>
    <w:rsid w:val="005D7759"/>
    <w:pPr>
      <w:spacing w:after="0" w:line="240" w:lineRule="auto"/>
    </w:pPr>
  </w:style>
  <w:style w:type="character" w:styleId="FollowedHyperlink">
    <w:name w:val="FollowedHyperlink"/>
    <w:basedOn w:val="DefaultParagraphFont"/>
    <w:uiPriority w:val="99"/>
    <w:semiHidden/>
    <w:unhideWhenUsed/>
    <w:rsid w:val="00B70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br/anp/pt-br/centrais-de-conteudo/paineis-dinamicos-da-anp/paineis-dinamicos-sobre-exploracao-e-producao-de-petroleo-e-gas" TargetMode="External"/><Relationship Id="rId4" Type="http://schemas.openxmlformats.org/officeDocument/2006/relationships/hyperlink" Target="https://www.gov.br/anp/pt-br/assuntos/exploracao-e-producao-de-oleo-e-gas/seguranca-operacional-e-meio-ambient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4508</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Pinheiro Maurieli de Morais</dc:creator>
  <cp:keywords/>
  <dc:description/>
  <cp:lastModifiedBy>Jean Stewart</cp:lastModifiedBy>
  <cp:revision>2</cp:revision>
  <dcterms:created xsi:type="dcterms:W3CDTF">2024-07-15T03:10:00Z</dcterms:created>
  <dcterms:modified xsi:type="dcterms:W3CDTF">2024-07-15T03:10:00Z</dcterms:modified>
</cp:coreProperties>
</file>